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lang w:val="en-US" w:eastAsia="zh-CN"/>
        </w:rPr>
        <w:t>行业</w:t>
      </w:r>
      <w:r>
        <w:rPr>
          <w:rFonts w:hint="eastAsia" w:ascii="宋体" w:hAnsi="宋体"/>
          <w:b/>
          <w:sz w:val="32"/>
          <w:szCs w:val="32"/>
        </w:rPr>
        <w:t>标准《</w:t>
      </w:r>
      <w:r>
        <w:rPr>
          <w:rFonts w:hint="eastAsia" w:ascii="宋体" w:hAnsi="宋体"/>
          <w:b/>
          <w:sz w:val="32"/>
          <w:szCs w:val="32"/>
          <w:lang w:val="en-US" w:eastAsia="zh-CN"/>
        </w:rPr>
        <w:t>氨基酸表面活性剂  谷氨酸型</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w:t>
      </w:r>
      <w:r>
        <w:rPr>
          <w:rFonts w:hint="eastAsia" w:ascii="宋体" w:hAnsi="宋体"/>
          <w:szCs w:val="21"/>
          <w:lang w:val="en-US" w:eastAsia="zh-CN"/>
        </w:rPr>
        <w:t>根据</w:t>
      </w:r>
      <w:r>
        <w:rPr>
          <w:rFonts w:hint="eastAsia" w:ascii="宋体" w:hAnsi="宋体"/>
        </w:rPr>
        <w:t>本项目是根据工业和信息化部行业标准制修订计划</w:t>
      </w:r>
      <w:r>
        <w:rPr>
          <w:rFonts w:hint="eastAsia" w:ascii="宋体" w:hAnsi="宋体"/>
          <w:lang w:val="en-US" w:eastAsia="zh-CN"/>
        </w:rPr>
        <w:t>制定</w:t>
      </w:r>
      <w:r>
        <w:rPr>
          <w:rFonts w:hint="eastAsia" w:ascii="宋体" w:hAnsi="宋体"/>
        </w:rPr>
        <w:t>，计划编号为2020-0958T-QB，项目名称“</w:t>
      </w:r>
      <w:r>
        <w:rPr>
          <w:rFonts w:hint="eastAsia" w:ascii="宋体" w:hAnsi="宋体"/>
          <w:lang w:val="en-US" w:eastAsia="zh-CN"/>
        </w:rPr>
        <w:t>氨基酸表面活性剂  谷氨酸型</w:t>
      </w:r>
      <w:r>
        <w:rPr>
          <w:rFonts w:hint="eastAsia" w:ascii="宋体" w:hAnsi="宋体"/>
        </w:rPr>
        <w:t>”，主要起草单位：</w:t>
      </w:r>
      <w:r>
        <w:rPr>
          <w:rFonts w:hint="eastAsia" w:ascii="宋体" w:hAnsi="宋体"/>
          <w:szCs w:val="21"/>
        </w:rPr>
        <w:t>。</w:t>
      </w:r>
    </w:p>
    <w:p>
      <w:pPr>
        <w:rPr>
          <w:rFonts w:ascii="ˎ̥" w:hAnsi="ˎ̥"/>
          <w:b/>
          <w:szCs w:val="21"/>
        </w:rPr>
      </w:pPr>
      <w:r>
        <w:rPr>
          <w:rFonts w:ascii="ˎ̥" w:hAnsi="ˎ̥"/>
          <w:b/>
          <w:szCs w:val="21"/>
        </w:rPr>
        <w:t>2</w:t>
      </w:r>
      <w:r>
        <w:rPr>
          <w:rFonts w:hint="eastAsia" w:ascii="ˎ̥" w:hAnsi="ˎ̥"/>
          <w:b/>
          <w:szCs w:val="21"/>
        </w:rPr>
        <w:t>、主要工作过程</w:t>
      </w:r>
    </w:p>
    <w:p>
      <w:pPr>
        <w:ind w:left="2" w:leftChars="1" w:firstLine="422" w:firstLineChars="200"/>
        <w:rPr>
          <w:rFonts w:ascii="宋体" w:hAnsi="宋体"/>
          <w:bCs/>
        </w:rPr>
      </w:pPr>
      <w:r>
        <w:rPr>
          <w:rFonts w:hint="eastAsia" w:ascii="ˎ̥" w:hAnsi="ˎ̥"/>
          <w:b/>
          <w:szCs w:val="21"/>
        </w:rPr>
        <w:t>起草阶段：</w:t>
      </w:r>
      <w:r>
        <w:rPr>
          <w:rFonts w:hint="eastAsia" w:ascii="ˎ̥" w:hAnsi="ˎ̥"/>
          <w:szCs w:val="21"/>
        </w:rPr>
        <w:t>标准计划获得项目立项后，</w:t>
      </w:r>
      <w:r>
        <w:rPr>
          <w:rFonts w:hint="default" w:ascii="Times New Roman" w:hAnsi="Times New Roman" w:cs="Times New Roman"/>
          <w:szCs w:val="21"/>
          <w:lang w:val="en-US" w:eastAsia="zh-CN"/>
        </w:rPr>
        <w:t>2021年08</w:t>
      </w:r>
      <w:r>
        <w:rPr>
          <w:rFonts w:hint="eastAsia" w:ascii="ˎ̥" w:hAnsi="ˎ̥"/>
          <w:szCs w:val="21"/>
          <w:lang w:val="en-US" w:eastAsia="zh-CN"/>
        </w:rPr>
        <w:t>月</w:t>
      </w:r>
      <w:r>
        <w:rPr>
          <w:rFonts w:hint="eastAsia" w:ascii="宋体" w:hAnsi="宋体"/>
        </w:rPr>
        <w:t>全国表面活性剂和洗涤用品标准化技术委员会成立标准起草工作组。工作组对当前</w:t>
      </w:r>
      <w:r>
        <w:rPr>
          <w:rFonts w:hint="eastAsia" w:ascii="宋体" w:hAnsi="宋体"/>
          <w:lang w:val="en-US" w:eastAsia="zh-CN"/>
        </w:rPr>
        <w:t>谷氨酸型表面活性剂</w:t>
      </w:r>
      <w:r>
        <w:rPr>
          <w:rFonts w:hint="eastAsia" w:ascii="宋体" w:hAnsi="宋体"/>
        </w:rPr>
        <w:t>的现状与发展情况进行全面调研，同时广泛搜集和检索了国内外</w:t>
      </w:r>
      <w:r>
        <w:rPr>
          <w:rFonts w:hint="eastAsia" w:ascii="宋体" w:hAnsi="宋体"/>
          <w:lang w:val="en-US" w:eastAsia="zh-CN"/>
        </w:rPr>
        <w:t>相关厂家资料</w:t>
      </w:r>
      <w:r>
        <w:rPr>
          <w:rFonts w:hint="eastAsia" w:ascii="宋体" w:hAnsi="宋体"/>
        </w:rPr>
        <w:t>，并进行了大量的研究分析、资料查证工作。经标委会相关单位专家研讨后，对标准草案初稿进行了认真的修改，于</w:t>
      </w:r>
      <w:r>
        <w:rPr>
          <w:rFonts w:hint="default" w:ascii="Times New Roman" w:hAnsi="Times New Roman" w:cs="Times New Roman"/>
        </w:rPr>
        <w:t>20</w:t>
      </w:r>
      <w:r>
        <w:rPr>
          <w:rFonts w:hint="default" w:ascii="Times New Roman" w:hAnsi="Times New Roman" w:cs="Times New Roman"/>
          <w:lang w:val="en-US" w:eastAsia="zh-CN"/>
        </w:rPr>
        <w:t>22</w:t>
      </w:r>
      <w:r>
        <w:rPr>
          <w:rFonts w:hint="default" w:ascii="Times New Roman" w:hAnsi="Times New Roman" w:cs="Times New Roman"/>
        </w:rPr>
        <w:t>年</w:t>
      </w:r>
      <w:r>
        <w:rPr>
          <w:rFonts w:hint="default" w:ascii="Times New Roman" w:hAnsi="Times New Roman" w:cs="Times New Roman"/>
          <w:lang w:val="en-US" w:eastAsia="zh-CN"/>
        </w:rPr>
        <w:t>7</w:t>
      </w:r>
      <w:r>
        <w:rPr>
          <w:rFonts w:hint="eastAsia" w:ascii="宋体" w:hAnsi="宋体"/>
        </w:rPr>
        <w:t>月形成标准征求意见稿，报标委会秘书处。</w:t>
      </w:r>
    </w:p>
    <w:p>
      <w:pPr>
        <w:rPr>
          <w:rFonts w:ascii="ˎ̥" w:hAnsi="ˎ̥"/>
          <w:b/>
          <w:szCs w:val="21"/>
        </w:rPr>
      </w:pPr>
      <w:r>
        <w:rPr>
          <w:rFonts w:ascii="ˎ̥" w:hAnsi="ˎ̥"/>
          <w:b/>
          <w:szCs w:val="21"/>
        </w:rPr>
        <w:t>3</w:t>
      </w:r>
      <w:r>
        <w:rPr>
          <w:rFonts w:hint="eastAsia" w:ascii="ˎ̥" w:hAnsi="ˎ̥"/>
          <w:b/>
          <w:szCs w:val="21"/>
        </w:rPr>
        <w:t>、主要参加单位和工作组成员</w:t>
      </w:r>
    </w:p>
    <w:p>
      <w:pPr>
        <w:ind w:left="2" w:leftChars="1" w:firstLine="420" w:firstLineChars="200"/>
        <w:rPr>
          <w:rFonts w:hint="eastAsia" w:ascii="ˎ̥" w:hAnsi="ˎ̥"/>
          <w:szCs w:val="21"/>
        </w:rPr>
      </w:pPr>
      <w:r>
        <w:rPr>
          <w:rFonts w:hint="eastAsia" w:ascii="ˎ̥" w:hAnsi="ˎ̥"/>
          <w:szCs w:val="21"/>
        </w:rPr>
        <w:t>主要起草单位：</w:t>
      </w:r>
    </w:p>
    <w:p>
      <w:pPr>
        <w:ind w:left="2" w:leftChars="1" w:firstLine="420" w:firstLineChars="200"/>
        <w:rPr>
          <w:rFonts w:ascii="ˎ̥" w:hAnsi="ˎ̥"/>
          <w:szCs w:val="21"/>
        </w:rPr>
      </w:pPr>
      <w:r>
        <w:rPr>
          <w:rFonts w:hint="eastAsia" w:ascii="ˎ̥" w:hAnsi="ˎ̥"/>
          <w:szCs w:val="21"/>
        </w:rPr>
        <w:t>工作组成员：。</w:t>
      </w:r>
    </w:p>
    <w:p>
      <w:pPr>
        <w:ind w:left="2" w:leftChars="1" w:firstLine="420" w:firstLineChars="200"/>
        <w:rPr>
          <w:rFonts w:ascii="宋体" w:hAnsi="宋体"/>
          <w:szCs w:val="21"/>
        </w:rPr>
      </w:pPr>
      <w:r>
        <w:rPr>
          <w:rFonts w:hint="eastAsia" w:ascii="ˎ̥" w:hAnsi="ˎ̥"/>
          <w:szCs w:val="21"/>
        </w:rPr>
        <w:t>所做的工作：</w:t>
      </w:r>
      <w:r>
        <w:rPr>
          <w:rFonts w:hint="eastAsia" w:ascii="ˎ̥" w:hAnsi="ˎ̥"/>
          <w:szCs w:val="21"/>
          <w:lang w:val="en-US" w:eastAsia="zh-CN"/>
        </w:rPr>
        <w:t>***</w:t>
      </w:r>
      <w:r>
        <w:rPr>
          <w:rFonts w:hint="eastAsia" w:ascii="ˎ̥" w:hAnsi="ˎ̥"/>
          <w:szCs w:val="21"/>
        </w:rPr>
        <w:t>任工作组组长，主持全面协调工作；</w:t>
      </w:r>
      <w:r>
        <w:rPr>
          <w:rFonts w:hint="eastAsia" w:hAnsi="宋体"/>
          <w:szCs w:val="21"/>
          <w:lang w:val="en-US" w:eastAsia="zh-CN"/>
        </w:rPr>
        <w:t>***</w:t>
      </w:r>
      <w:r>
        <w:rPr>
          <w:rFonts w:hint="eastAsia" w:ascii="ˎ̥" w:hAnsi="ˎ̥"/>
          <w:szCs w:val="21"/>
        </w:rPr>
        <w:t>为本标准主要持笔人，负责本标准的起草、编写；</w:t>
      </w:r>
      <w:r>
        <w:rPr>
          <w:rFonts w:hint="eastAsia" w:hAnsi="宋体"/>
          <w:szCs w:val="21"/>
          <w:lang w:val="en-US" w:eastAsia="zh-CN"/>
        </w:rPr>
        <w:t>***</w:t>
      </w:r>
      <w:r>
        <w:rPr>
          <w:rFonts w:hint="eastAsia" w:ascii="ˎ̥" w:hAnsi="ˎ̥"/>
          <w:szCs w:val="21"/>
        </w:rPr>
        <w:t>为组员负责对国内外相关试验方法技术的现状与发展情况进行全面调研，同时广泛搜集和检索国内外相关技术资料，进行研究分析、资料查证工作。</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的修订符合产业发展的原则，本着先进性、科学性、合理性和可操作性的原则以及标准的目标、统一性、协调性、适用性、一致性和规范性原则来进行本标准的制定工作。</w:t>
      </w:r>
    </w:p>
    <w:p>
      <w:pPr>
        <w:ind w:firstLine="420" w:firstLineChars="200"/>
        <w:rPr>
          <w:rFonts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起草过程中，主要按GB/T 1.1－2020《标准化工作导则 第1部分：标准的结构和编写》和GB/T 1.2－2002《标准化工作导则 第2部分：标准中规范性技术要素内容的确定方法》进行编写。该标准制定过程中主要参考了</w:t>
      </w:r>
      <w:bookmarkStart w:id="0" w:name="_Hlk26538757"/>
      <w:r>
        <w:rPr>
          <w:rFonts w:hint="eastAsia" w:ascii="宋体" w:hAnsi="宋体"/>
          <w:szCs w:val="21"/>
        </w:rPr>
        <w:t>以下标准或文件：</w:t>
      </w:r>
    </w:p>
    <w:bookmarkEnd w:id="0"/>
    <w:p>
      <w:pPr>
        <w:pStyle w:val="27"/>
        <w:tabs>
          <w:tab w:val="center" w:pos="4201"/>
          <w:tab w:val="right" w:leader="dot" w:pos="9298"/>
        </w:tabs>
        <w:spacing w:line="300" w:lineRule="auto"/>
        <w:rPr>
          <w:rFonts w:hint="eastAsia"/>
        </w:rPr>
      </w:pPr>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7"/>
        <w:tabs>
          <w:tab w:val="center" w:pos="4201"/>
          <w:tab w:val="right" w:leader="dot" w:pos="9298"/>
        </w:tabs>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7"/>
        <w:tabs>
          <w:tab w:val="center" w:pos="4201"/>
          <w:tab w:val="right" w:leader="dot" w:pos="9298"/>
        </w:tabs>
        <w:spacing w:line="300" w:lineRule="auto"/>
        <w:rPr>
          <w:rFonts w:hint="eastAsia"/>
        </w:rPr>
      </w:pPr>
      <w:r>
        <w:rPr>
          <w:rFonts w:hint="eastAsia" w:ascii="Times New Roman" w:hAnsi="Times New Roman" w:cs="Times New Roman"/>
        </w:rPr>
        <w:t>GB/T 6368</w:t>
      </w:r>
      <w:r>
        <w:rPr>
          <w:rFonts w:hint="eastAsia"/>
        </w:rPr>
        <w:t xml:space="preserve"> 表面活性剂 </w:t>
      </w:r>
      <w:r>
        <w:rPr>
          <w:rFonts w:hint="eastAsia"/>
          <w:lang w:val="en-US" w:eastAsia="zh-CN"/>
        </w:rPr>
        <w:t xml:space="preserve"> </w:t>
      </w:r>
      <w:r>
        <w:rPr>
          <w:rFonts w:hint="eastAsia"/>
        </w:rPr>
        <w:t>水溶性pH值的测定 电位法</w:t>
      </w:r>
    </w:p>
    <w:p>
      <w:pPr>
        <w:pStyle w:val="27"/>
        <w:tabs>
          <w:tab w:val="center" w:pos="4201"/>
          <w:tab w:val="right" w:leader="dot" w:pos="9298"/>
        </w:tabs>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7"/>
        <w:tabs>
          <w:tab w:val="center" w:pos="4201"/>
          <w:tab w:val="right" w:leader="dot" w:pos="9298"/>
        </w:tabs>
        <w:spacing w:line="300" w:lineRule="auto"/>
        <w:rPr>
          <w:rFonts w:hint="default"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7"/>
        <w:tabs>
          <w:tab w:val="center" w:pos="4201"/>
          <w:tab w:val="right" w:leader="dot" w:pos="9298"/>
        </w:tabs>
        <w:spacing w:line="300" w:lineRule="auto"/>
      </w:pPr>
      <w:r>
        <w:rPr>
          <w:rFonts w:hint="eastAsia" w:ascii="Times New Roman" w:hAnsi="Times New Roman" w:cs="Times New Roman"/>
        </w:rPr>
        <w:t>GB/T 13173</w:t>
      </w:r>
      <w:r>
        <w:rPr>
          <w:rFonts w:hint="eastAsia"/>
        </w:rPr>
        <w:t xml:space="preserve"> 表面活性剂 洗涤剂试验方法</w:t>
      </w:r>
    </w:p>
    <w:p>
      <w:pPr>
        <w:pStyle w:val="27"/>
        <w:tabs>
          <w:tab w:val="center" w:pos="4201"/>
          <w:tab w:val="right" w:leader="dot" w:pos="9298"/>
        </w:tabs>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27"/>
        <w:tabs>
          <w:tab w:val="center" w:pos="4201"/>
          <w:tab w:val="right" w:leader="dot" w:pos="9298"/>
        </w:tabs>
        <w:spacing w:line="300" w:lineRule="auto"/>
        <w:rPr>
          <w:rFonts w:hint="default" w:eastAsia="宋体"/>
          <w:lang w:val="en-US" w:eastAsia="zh-CN"/>
        </w:rPr>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p>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pStyle w:val="2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谷氨酸型氨基酸表面活性剂的产品要求</w:t>
      </w:r>
      <w:r>
        <w:rPr>
          <w:rFonts w:hint="eastAsia"/>
        </w:rPr>
        <w:t>，试验方法，检验规则和标志、包装、运输、贮存和保质期。</w:t>
      </w:r>
    </w:p>
    <w:p>
      <w:pPr>
        <w:ind w:firstLine="420"/>
      </w:pPr>
      <w:r>
        <w:rPr>
          <w:rFonts w:hint="eastAsia"/>
        </w:rPr>
        <w:t>本文件</w:t>
      </w:r>
      <w:r>
        <w:rPr>
          <w:rFonts w:hint="default" w:ascii="Times New Roman" w:hAnsi="Times New Roman" w:eastAsia="宋体" w:cs="Times New Roman"/>
        </w:rPr>
        <w:t>适用于</w:t>
      </w:r>
      <w:r>
        <w:rPr>
          <w:rFonts w:hint="eastAsia" w:cs="Times New Roman"/>
          <w:lang w:val="en-US" w:eastAsia="zh-CN"/>
        </w:rPr>
        <w:t>谷氨酸</w:t>
      </w:r>
      <w:r>
        <w:rPr>
          <w:rFonts w:hint="default" w:ascii="Times New Roman" w:hAnsi="Times New Roman" w:eastAsia="宋体" w:cs="Times New Roman"/>
          <w:lang w:val="en-US" w:eastAsia="zh-CN"/>
        </w:rPr>
        <w:t>型表面活性剂</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1</w:t>
      </w:r>
      <w:r>
        <w:rPr>
          <w:rFonts w:hint="eastAsia" w:ascii="黑体" w:hAnsi="黑体" w:eastAsia="黑体"/>
          <w:szCs w:val="21"/>
        </w:rPr>
        <w:t>产品分类</w:t>
      </w:r>
    </w:p>
    <w:p>
      <w:pPr>
        <w:pStyle w:val="27"/>
        <w:spacing w:line="320" w:lineRule="exact"/>
        <w:ind w:firstLine="420"/>
      </w:pPr>
      <w:r>
        <w:rPr>
          <w:rFonts w:hint="eastAsia" w:ascii="Times New Roman" w:cs="Times New Roman"/>
          <w:lang w:val="en-US" w:eastAsia="zh-CN"/>
        </w:rPr>
        <w:t>谷氨酸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按照产品形态分为液体产品和固体产品，液体产品按照盐含量又分为低盐型和高盐型两类</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要求</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1</w:t>
      </w:r>
      <w:r>
        <w:rPr>
          <w:rFonts w:hint="eastAsia" w:ascii="黑体" w:hAnsi="黑体" w:eastAsia="黑体"/>
          <w:szCs w:val="21"/>
          <w:lang w:val="en-US" w:eastAsia="zh-CN"/>
        </w:rPr>
        <w:t>感</w:t>
      </w:r>
      <w:r>
        <w:rPr>
          <w:rFonts w:hint="eastAsia" w:ascii="黑体" w:hAnsi="黑体" w:eastAsia="黑体"/>
          <w:szCs w:val="21"/>
        </w:rPr>
        <w:t>观</w:t>
      </w:r>
      <w:r>
        <w:rPr>
          <w:rFonts w:hint="eastAsia" w:ascii="黑体" w:hAnsi="黑体" w:eastAsia="黑体"/>
          <w:szCs w:val="21"/>
          <w:lang w:val="en-US" w:eastAsia="zh-CN"/>
        </w:rPr>
        <w:t>指标</w:t>
      </w:r>
    </w:p>
    <w:p>
      <w:pPr>
        <w:ind w:firstLine="420" w:firstLineChars="200"/>
        <w:rPr>
          <w:rFonts w:hint="default" w:ascii="宋体" w:hAnsi="宋体"/>
          <w:szCs w:val="21"/>
          <w:lang w:val="en-US"/>
        </w:rPr>
      </w:pPr>
      <w:r>
        <w:rPr>
          <w:rFonts w:hint="eastAsia" w:ascii="宋体" w:hAnsi="宋体"/>
          <w:bCs/>
          <w:szCs w:val="21"/>
          <w:lang w:val="en-US" w:eastAsia="zh-CN"/>
        </w:rPr>
        <w:t>对外观和气味进行了规定。其中，针对产品形态的不同对</w:t>
      </w:r>
      <w:r>
        <w:rPr>
          <w:rFonts w:hint="eastAsia" w:ascii="Times New Roman" w:cs="Times New Roman"/>
          <w:lang w:val="en-US" w:eastAsia="zh-CN"/>
        </w:rPr>
        <w:t>液体产品和固体产品</w:t>
      </w:r>
      <w:r>
        <w:rPr>
          <w:rFonts w:hint="eastAsia" w:cs="Times New Roman"/>
          <w:lang w:val="en-US" w:eastAsia="zh-CN"/>
        </w:rPr>
        <w:t>的外观设定了不同的要求。</w:t>
      </w:r>
    </w:p>
    <w:p>
      <w:pPr>
        <w:rPr>
          <w:rFonts w:hint="eastAsia" w:ascii="黑体" w:hAnsi="黑体" w:eastAsia="黑体"/>
          <w:szCs w:val="21"/>
          <w:lang w:val="en-US"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理化</w:t>
      </w:r>
      <w:r>
        <w:rPr>
          <w:rFonts w:hint="eastAsia" w:ascii="黑体" w:hAnsi="黑体" w:eastAsia="黑体"/>
          <w:szCs w:val="21"/>
          <w:lang w:val="en-US" w:eastAsia="zh-CN"/>
        </w:rPr>
        <w:t>指标</w:t>
      </w:r>
    </w:p>
    <w:p>
      <w:pPr>
        <w:pStyle w:val="27"/>
        <w:spacing w:line="320" w:lineRule="exact"/>
        <w:ind w:firstLine="420"/>
        <w:rPr>
          <w:rFonts w:hint="default"/>
          <w:lang w:val="en-US"/>
        </w:rPr>
      </w:pPr>
      <w:r>
        <w:rPr>
          <w:rFonts w:hint="eastAsia" w:ascii="Times New Roman" w:cs="Times New Roman"/>
          <w:lang w:val="en-US" w:eastAsia="zh-CN"/>
        </w:rPr>
        <w:t>设立了pH（10%水溶液，25℃）、固含量、氯化物含量（以Cl</w:t>
      </w:r>
      <w:r>
        <w:rPr>
          <w:rFonts w:hint="eastAsia" w:ascii="Times New Roman" w:cs="Times New Roman"/>
          <w:vertAlign w:val="superscript"/>
          <w:lang w:val="en-US" w:eastAsia="zh-CN"/>
        </w:rPr>
        <w:t>-</w:t>
      </w:r>
      <w:r>
        <w:rPr>
          <w:rFonts w:hint="eastAsia" w:ascii="Times New Roman" w:cs="Times New Roman"/>
          <w:lang w:val="en-US" w:eastAsia="zh-CN"/>
        </w:rPr>
        <w:t>计）、色泽、残余脂肪酸含量、残余谷氨酸含量等指标要求。对不同类型的产品规定了不同的指标要求。</w:t>
      </w:r>
    </w:p>
    <w:p>
      <w:pPr>
        <w:rPr>
          <w:rFonts w:ascii="宋体" w:hAnsi="宋体"/>
          <w:szCs w:val="21"/>
        </w:rPr>
      </w:pP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3</w:t>
      </w:r>
      <w:r>
        <w:rPr>
          <w:rFonts w:hint="eastAsia" w:ascii="黑体" w:hAnsi="黑体" w:eastAsia="黑体"/>
          <w:szCs w:val="21"/>
          <w:lang w:val="en-US" w:eastAsia="zh-CN"/>
        </w:rPr>
        <w:t>卫生安全指标</w:t>
      </w:r>
    </w:p>
    <w:p>
      <w:pPr>
        <w:ind w:firstLine="420" w:firstLineChars="200"/>
        <w:rPr>
          <w:rFonts w:hint="default" w:ascii="宋体" w:hAnsi="宋体" w:eastAsia="宋体"/>
          <w:szCs w:val="21"/>
          <w:lang w:val="en-US" w:eastAsia="zh-CN"/>
        </w:rPr>
      </w:pPr>
      <w:r>
        <w:rPr>
          <w:rFonts w:hint="eastAsia" w:hAnsi="宋体"/>
          <w:szCs w:val="21"/>
          <w:lang w:val="en-US" w:eastAsia="zh-CN"/>
        </w:rPr>
        <w:t>对</w:t>
      </w:r>
      <w:r>
        <w:rPr>
          <w:rFonts w:hAnsi="宋体"/>
          <w:szCs w:val="21"/>
          <w:lang w:val="en-US" w:eastAsia="zh-CN"/>
        </w:rPr>
        <w:t xml:space="preserve">微生物学指标 </w:t>
      </w:r>
      <w:r>
        <w:rPr>
          <w:rFonts w:hint="eastAsia" w:hAnsi="宋体"/>
          <w:szCs w:val="21"/>
          <w:lang w:val="en-US" w:eastAsia="zh-CN"/>
        </w:rPr>
        <w:t>(菌落总数、霉菌和酵母菌总数、耐热大肠菌群、金黄色葡萄球菌、铜绿假单胞菌)、有害物质(汞、铅、砷、镉、甲醇) 作出规定</w:t>
      </w:r>
      <w:r>
        <w:rPr>
          <w:rFonts w:hint="eastAsia" w:ascii="宋体" w:hAnsi="宋体"/>
          <w:szCs w:val="21"/>
        </w:rPr>
        <w:t>。</w:t>
      </w:r>
      <w:r>
        <w:rPr>
          <w:rFonts w:hint="eastAsia" w:ascii="宋体" w:hAnsi="宋体"/>
          <w:szCs w:val="21"/>
          <w:lang w:val="en-US" w:eastAsia="zh-CN"/>
        </w:rPr>
        <w:t>针对氨基酸表面活性剂的特殊性，对菌落总数及</w:t>
      </w:r>
      <w:r>
        <w:rPr>
          <w:rFonts w:hint="eastAsia" w:hAnsi="宋体"/>
          <w:szCs w:val="21"/>
          <w:lang w:val="en-US" w:eastAsia="zh-CN"/>
        </w:rPr>
        <w:t>霉菌和酵母菌总数作出更高要求，分别为≤100及≤50，其他同《化妆品安全技术规范(2015年 版)》规定。</w:t>
      </w:r>
    </w:p>
    <w:p>
      <w:pPr>
        <w:rPr>
          <w:rFonts w:ascii="黑体" w:hAnsi="黑体" w:eastAsia="黑体"/>
          <w:szCs w:val="21"/>
        </w:rPr>
      </w:pPr>
      <w:r>
        <w:rPr>
          <w:rFonts w:hint="eastAsia" w:ascii="黑体" w:hAnsi="黑体" w:eastAsia="黑体"/>
          <w:szCs w:val="21"/>
        </w:rPr>
        <w:t>2.</w:t>
      </w:r>
      <w:r>
        <w:rPr>
          <w:rFonts w:ascii="黑体" w:hAnsi="黑体" w:eastAsia="黑体"/>
          <w:szCs w:val="21"/>
        </w:rPr>
        <w:t>3</w:t>
      </w:r>
      <w:r>
        <w:rPr>
          <w:rFonts w:hint="eastAsia" w:ascii="黑体" w:hAnsi="黑体" w:eastAsia="黑体"/>
          <w:szCs w:val="21"/>
        </w:rPr>
        <w:t>试验方法</w:t>
      </w:r>
    </w:p>
    <w:p>
      <w:pPr>
        <w:ind w:firstLine="420" w:firstLineChars="200"/>
        <w:rPr>
          <w:rFonts w:hint="eastAsia" w:ascii="宋体" w:hAnsi="宋体"/>
          <w:kern w:val="0"/>
          <w:szCs w:val="21"/>
          <w:lang w:val="en-US" w:eastAsia="zh-CN"/>
        </w:rPr>
      </w:pPr>
      <w:r>
        <w:rPr>
          <w:rFonts w:hint="eastAsia"/>
        </w:rPr>
        <w:t>按</w:t>
      </w:r>
      <w:r>
        <w:rPr>
          <w:rFonts w:hint="eastAsia"/>
          <w:lang w:val="en-US" w:eastAsia="zh-CN"/>
        </w:rPr>
        <w:t>照</w:t>
      </w:r>
      <w:r>
        <w:rPr>
          <w:rFonts w:hint="eastAsia" w:ascii="Times New Roman" w:hAnsi="Times New Roman" w:cs="Times New Roman"/>
          <w:szCs w:val="21"/>
        </w:rPr>
        <w:t>GB/T 6368</w:t>
      </w:r>
      <w:r>
        <w:rPr>
          <w:rFonts w:hint="eastAsia" w:ascii="宋体" w:hAnsi="宋体"/>
          <w:color w:val="auto"/>
          <w:kern w:val="0"/>
          <w:szCs w:val="21"/>
          <w:lang w:val="en-US" w:eastAsia="zh-CN"/>
        </w:rPr>
        <w:t>进行pH</w:t>
      </w:r>
      <w:r>
        <w:rPr>
          <w:rFonts w:hint="eastAsia" w:ascii="宋体" w:hAnsi="宋体"/>
          <w:kern w:val="0"/>
          <w:szCs w:val="21"/>
          <w:lang w:val="en-US" w:eastAsia="zh-CN"/>
        </w:rPr>
        <w:t>的测定。</w:t>
      </w:r>
    </w:p>
    <w:p>
      <w:pPr>
        <w:ind w:firstLine="420" w:firstLineChars="200"/>
        <w:rPr>
          <w:rFonts w:hint="eastAsia" w:ascii="宋体" w:hAnsi="宋体"/>
          <w:kern w:val="0"/>
          <w:szCs w:val="21"/>
          <w:lang w:val="en-US" w:eastAsia="zh-CN"/>
        </w:rPr>
      </w:pPr>
      <w:r>
        <w:rPr>
          <w:rFonts w:hint="eastAsia"/>
          <w:lang w:val="en-US" w:eastAsia="zh-CN"/>
        </w:rPr>
        <w:t>按照</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宋体" w:hAnsi="宋体"/>
          <w:color w:val="auto"/>
          <w:kern w:val="0"/>
          <w:szCs w:val="21"/>
          <w:lang w:val="en-US" w:eastAsia="zh-CN"/>
        </w:rPr>
        <w:t>进行固含量</w:t>
      </w:r>
      <w:r>
        <w:rPr>
          <w:rFonts w:hint="eastAsia" w:ascii="宋体" w:hAnsi="宋体"/>
          <w:kern w:val="0"/>
          <w:szCs w:val="21"/>
          <w:lang w:val="en-US" w:eastAsia="zh-CN"/>
        </w:rPr>
        <w:t>的测定。</w:t>
      </w:r>
    </w:p>
    <w:p>
      <w:pPr>
        <w:ind w:firstLine="420" w:firstLineChars="200"/>
        <w:rPr>
          <w:rFonts w:hint="eastAsia"/>
          <w:lang w:val="en-US" w:eastAsia="zh-CN"/>
        </w:rPr>
      </w:pPr>
      <w:r>
        <w:rPr>
          <w:rFonts w:hint="eastAsia"/>
        </w:rPr>
        <w:t>按</w:t>
      </w:r>
      <w:r>
        <w:rPr>
          <w:rFonts w:hint="eastAsia"/>
          <w:lang w:val="en-US" w:eastAsia="zh-CN"/>
        </w:rPr>
        <w:t>照</w:t>
      </w: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进行色泽的测定。</w:t>
      </w:r>
    </w:p>
    <w:p>
      <w:pPr>
        <w:ind w:firstLine="420" w:firstLineChars="200"/>
        <w:rPr>
          <w:rFonts w:hint="default"/>
          <w:lang w:val="en-US" w:eastAsia="zh-CN"/>
        </w:rPr>
      </w:pPr>
      <w:r>
        <w:rPr>
          <w:rFonts w:hint="eastAsia"/>
          <w:lang w:val="en-US" w:eastAsia="zh-CN"/>
        </w:rPr>
        <w:t>文件中具体规定了</w:t>
      </w:r>
      <w:r>
        <w:rPr>
          <w:rFonts w:hint="eastAsia" w:ascii="Times New Roman" w:cs="Times New Roman"/>
          <w:lang w:val="en-US" w:eastAsia="zh-CN"/>
        </w:rPr>
        <w:t>氯化物含量（以Cl</w:t>
      </w:r>
      <w:r>
        <w:rPr>
          <w:rFonts w:hint="eastAsia" w:ascii="Times New Roman" w:cs="Times New Roman"/>
          <w:vertAlign w:val="superscript"/>
          <w:lang w:val="en-US" w:eastAsia="zh-CN"/>
        </w:rPr>
        <w:t>-</w:t>
      </w:r>
      <w:r>
        <w:rPr>
          <w:rFonts w:hint="eastAsia" w:ascii="Times New Roman" w:cs="Times New Roman"/>
          <w:lang w:val="en-US" w:eastAsia="zh-CN"/>
        </w:rPr>
        <w:t>计</w:t>
      </w:r>
      <w:r>
        <w:rPr>
          <w:rFonts w:hint="eastAsia" w:cs="Times New Roman"/>
          <w:lang w:val="en-US" w:eastAsia="zh-CN"/>
        </w:rPr>
        <w:t>）、</w:t>
      </w:r>
      <w:r>
        <w:rPr>
          <w:rFonts w:hint="eastAsia" w:ascii="Times New Roman" w:cs="Times New Roman"/>
          <w:lang w:val="en-US" w:eastAsia="zh-CN"/>
        </w:rPr>
        <w:t>残余脂肪酸含量、残余</w:t>
      </w:r>
      <w:r>
        <w:rPr>
          <w:rFonts w:hint="eastAsia" w:cs="Times New Roman"/>
          <w:lang w:val="en-US" w:eastAsia="zh-CN"/>
        </w:rPr>
        <w:t>谷氨酸</w:t>
      </w:r>
      <w:r>
        <w:rPr>
          <w:rFonts w:hint="eastAsia" w:ascii="Times New Roman" w:cs="Times New Roman"/>
          <w:lang w:val="en-US" w:eastAsia="zh-CN"/>
        </w:rPr>
        <w:t>含量</w:t>
      </w:r>
      <w:r>
        <w:rPr>
          <w:rFonts w:hint="eastAsia" w:cs="Times New Roman"/>
          <w:lang w:val="en-US" w:eastAsia="zh-CN"/>
        </w:rPr>
        <w:t>的具体检验方法。</w:t>
      </w:r>
    </w:p>
    <w:p>
      <w:pPr>
        <w:rPr>
          <w:rFonts w:ascii="黑体" w:hAnsi="黑体" w:eastAsia="黑体"/>
          <w:szCs w:val="21"/>
        </w:rPr>
      </w:pPr>
      <w:r>
        <w:rPr>
          <w:rFonts w:hint="eastAsia" w:ascii="黑体" w:hAnsi="黑体" w:eastAsia="黑体"/>
          <w:szCs w:val="21"/>
        </w:rPr>
        <w:t>2.</w:t>
      </w:r>
      <w:r>
        <w:rPr>
          <w:rFonts w:ascii="黑体" w:hAnsi="黑体" w:eastAsia="黑体"/>
          <w:szCs w:val="21"/>
        </w:rPr>
        <w:t>4</w:t>
      </w:r>
      <w:r>
        <w:rPr>
          <w:rFonts w:hint="eastAsia" w:ascii="黑体" w:hAnsi="黑体" w:eastAsia="黑体"/>
          <w:szCs w:val="21"/>
        </w:rPr>
        <w:t>检验规则</w:t>
      </w:r>
    </w:p>
    <w:p>
      <w:pPr>
        <w:rPr>
          <w:rFonts w:ascii="黑体" w:hAnsi="黑体" w:eastAsia="黑体"/>
          <w:szCs w:val="21"/>
        </w:rPr>
      </w:pPr>
      <w:r>
        <w:rPr>
          <w:rFonts w:hint="eastAsia" w:ascii="黑体" w:hAnsi="黑体" w:eastAsia="黑体"/>
          <w:szCs w:val="21"/>
        </w:rPr>
        <w:t>2.</w:t>
      </w:r>
      <w:r>
        <w:rPr>
          <w:rFonts w:ascii="黑体" w:hAnsi="黑体" w:eastAsia="黑体"/>
          <w:szCs w:val="21"/>
        </w:rPr>
        <w:t>5</w:t>
      </w:r>
      <w:r>
        <w:rPr>
          <w:rFonts w:hint="eastAsia" w:ascii="黑体" w:hAnsi="黑体" w:eastAsia="黑体"/>
          <w:szCs w:val="21"/>
        </w:rPr>
        <w:t>标志、包装</w:t>
      </w:r>
    </w:p>
    <w:p>
      <w:pPr>
        <w:ind w:firstLine="420" w:firstLineChars="200"/>
        <w:rPr>
          <w:rFonts w:ascii="宋体" w:hAnsi="宋体"/>
          <w:kern w:val="0"/>
          <w:szCs w:val="21"/>
        </w:rPr>
      </w:pPr>
      <w:r>
        <w:rPr>
          <w:rFonts w:hint="eastAsia"/>
          <w:lang w:val="en-US" w:eastAsia="zh-CN"/>
        </w:rPr>
        <w:t>执行GB/T 191</w:t>
      </w:r>
      <w:r>
        <w:rPr>
          <w:rFonts w:hint="eastAsia"/>
        </w:rPr>
        <w:t>的规定</w:t>
      </w:r>
      <w:r>
        <w:rPr>
          <w:rFonts w:ascii="宋体" w:hAnsi="宋体"/>
          <w:kern w:val="0"/>
          <w:szCs w:val="21"/>
        </w:rPr>
        <w:t>。</w:t>
      </w:r>
    </w:p>
    <w:p>
      <w:pPr>
        <w:spacing w:line="276" w:lineRule="auto"/>
        <w:rPr>
          <w:rFonts w:ascii="宋体" w:hAnsi="宋体"/>
          <w:b/>
        </w:rPr>
      </w:pPr>
      <w:r>
        <w:rPr>
          <w:rFonts w:hint="eastAsia" w:ascii="宋体" w:hAnsi="宋体"/>
          <w:b/>
        </w:rPr>
        <w:t>3、解决的主要问题</w:t>
      </w:r>
      <w:bookmarkStart w:id="1" w:name="_GoBack"/>
      <w:bookmarkEnd w:id="1"/>
    </w:p>
    <w:p>
      <w:pPr>
        <w:ind w:firstLine="420"/>
        <w:rPr>
          <w:rFonts w:hint="eastAsia"/>
          <w:lang w:eastAsia="zh-CN"/>
        </w:rPr>
      </w:pPr>
      <w:r>
        <w:rPr>
          <w:rFonts w:hint="eastAsia" w:ascii="宋体" w:hAnsi="宋体"/>
        </w:rPr>
        <w:t>本标准为</w:t>
      </w:r>
      <w:r>
        <w:rPr>
          <w:rFonts w:hint="eastAsia" w:ascii="宋体" w:hAnsi="宋体"/>
          <w:lang w:val="en-US" w:eastAsia="zh-CN"/>
        </w:rPr>
        <w:t>制订</w:t>
      </w:r>
      <w:r>
        <w:rPr>
          <w:rFonts w:hint="eastAsia" w:ascii="宋体" w:hAnsi="宋体"/>
        </w:rPr>
        <w:t>项目，</w:t>
      </w:r>
      <w:r>
        <w:rPr>
          <w:rFonts w:hint="eastAsia" w:ascii="Times New Roman" w:hAnsi="Times New Roman"/>
          <w:szCs w:val="21"/>
        </w:rPr>
        <w:t>收集了大多数企业的标准，以此作为依据</w:t>
      </w:r>
      <w:r>
        <w:rPr>
          <w:rFonts w:hint="eastAsia" w:ascii="Times New Roman" w:hAnsi="Times New Roman"/>
          <w:szCs w:val="21"/>
          <w:lang w:eastAsia="zh-CN"/>
        </w:rPr>
        <w:t>，</w:t>
      </w:r>
      <w:r>
        <w:rPr>
          <w:rFonts w:hint="eastAsia" w:ascii="宋体" w:hAnsi="宋体"/>
        </w:rPr>
        <w:t>充分纳入和反映了当前</w:t>
      </w:r>
      <w:r>
        <w:rPr>
          <w:rFonts w:hint="eastAsia" w:ascii="宋体" w:hAnsi="宋体"/>
          <w:lang w:val="en-US" w:eastAsia="zh-CN"/>
        </w:rPr>
        <w:t>主要生产企业</w:t>
      </w:r>
      <w:r>
        <w:rPr>
          <w:rFonts w:hint="eastAsia" w:ascii="宋体" w:hAnsi="宋体"/>
        </w:rPr>
        <w:t>的</w:t>
      </w:r>
      <w:r>
        <w:rPr>
          <w:rFonts w:hint="eastAsia" w:ascii="宋体" w:hAnsi="宋体"/>
          <w:lang w:val="en-US" w:eastAsia="zh-CN"/>
        </w:rPr>
        <w:t>谷氨酸表面活性剂</w:t>
      </w:r>
      <w:r>
        <w:rPr>
          <w:rFonts w:hint="eastAsia" w:ascii="宋体" w:hAnsi="宋体"/>
        </w:rPr>
        <w:t>生产工艺，对规范市场，指导生产，提高产品的质量，更好地满足</w:t>
      </w:r>
      <w:r>
        <w:rPr>
          <w:rFonts w:hint="eastAsia" w:ascii="Times New Roman" w:hAnsi="Times New Roman"/>
          <w:szCs w:val="21"/>
        </w:rPr>
        <w:t>下游应用企业</w:t>
      </w:r>
      <w:r>
        <w:rPr>
          <w:rFonts w:hint="eastAsia" w:ascii="宋体" w:hAnsi="宋体"/>
        </w:rPr>
        <w:t>使用需要具有十分重要的作用。</w:t>
      </w:r>
    </w:p>
    <w:p>
      <w:pPr>
        <w:spacing w:before="156" w:beforeLines="50" w:after="156" w:afterLines="50"/>
        <w:rPr>
          <w:rFonts w:ascii="宋体" w:hAnsi="宋体"/>
          <w:b/>
          <w:szCs w:val="21"/>
        </w:rPr>
      </w:pPr>
      <w:r>
        <w:rPr>
          <w:rFonts w:hint="eastAsia" w:ascii="宋体" w:hAnsi="宋体"/>
          <w:b/>
          <w:szCs w:val="21"/>
        </w:rPr>
        <w:t>三、主要试验（或验证）情况</w:t>
      </w:r>
    </w:p>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rPr>
          <w:rFonts w:hint="eastAsia" w:ascii="Times New Roman" w:hAnsi="Times New Roman" w:cs="Times New Roman"/>
        </w:rPr>
      </w:pPr>
      <w:r>
        <w:rPr>
          <w:rFonts w:hint="eastAsia" w:ascii="Times New Roman" w:hAnsi="Times New Roman" w:cs="Times New Roman"/>
        </w:rPr>
        <w:t>本标准尤其注重了产品对人体和环境的安全性；加强了与相关标准之间的一致性，便于提高采标率。</w:t>
      </w:r>
    </w:p>
    <w:p>
      <w:pPr>
        <w:ind w:firstLine="420"/>
        <w:rPr>
          <w:rFonts w:hint="eastAsia" w:ascii="Times New Roman" w:hAnsi="Times New Roman" w:cs="Times New Roman"/>
          <w:lang w:eastAsia="zh-CN"/>
        </w:rPr>
      </w:pPr>
      <w:r>
        <w:rPr>
          <w:rFonts w:hint="eastAsia" w:ascii="Times New Roman" w:hAnsi="Times New Roman" w:cs="Times New Roman"/>
        </w:rPr>
        <w:t>本标准实施后，可以建立一个公正、统一的产品质量评价平台，有利于保护消费者利益，促进市场良性竞争发展</w:t>
      </w:r>
      <w:r>
        <w:rPr>
          <w:rFonts w:hint="eastAsia" w:ascii="Times New Roman" w:hAnsi="Times New Roman" w:cs="Times New Roman"/>
          <w:lang w:eastAsia="zh-CN"/>
        </w:rPr>
        <w:t>。</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本专业领域的标准体系框架如图。</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本标准属于标准体系中05日用化学制品－07清洁卫生用品－0</w:t>
      </w:r>
      <w:r>
        <w:rPr>
          <w:rFonts w:hint="eastAsia" w:ascii="宋体" w:hAnsi="宋体" w:cs="宋体"/>
          <w:spacing w:val="2"/>
          <w:lang w:val="en-US" w:eastAsia="zh-CN"/>
        </w:rPr>
        <w:t>4洗涤剂用原料</w:t>
      </w:r>
      <w:r>
        <w:rPr>
          <w:rFonts w:hint="eastAsia" w:ascii="宋体" w:hAnsi="宋体" w:eastAsia="宋体" w:cs="宋体"/>
          <w:spacing w:val="2"/>
        </w:rPr>
        <w:t>。</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本标准与现行相关法律、法规、规章及相关标准协调一致。</w:t>
      </w:r>
    </w:p>
    <w:p>
      <w:pPr>
        <w:adjustRightInd w:val="0"/>
        <w:snapToGrid w:val="0"/>
        <w:jc w:val="left"/>
        <w:rPr>
          <w:rFonts w:hint="eastAsia" w:ascii="宋体" w:hAnsi="宋体"/>
          <w:kern w:val="0"/>
          <w:szCs w:val="21"/>
        </w:rPr>
      </w:pPr>
    </w:p>
    <w:p>
      <w:pPr>
        <w:adjustRightInd w:val="0"/>
        <w:snapToGrid w:val="0"/>
        <w:ind w:firstLine="420" w:firstLineChars="200"/>
        <w:jc w:val="left"/>
        <w:rPr>
          <w:rFonts w:hint="eastAsia" w:ascii="宋体" w:hAnsi="宋体"/>
          <w:kern w:val="0"/>
          <w:szCs w:val="21"/>
        </w:rPr>
      </w:pPr>
      <w:r>
        <w:rPr>
          <w:rFonts w:ascii="宋体" w:hAnsi="宋体"/>
        </w:rPr>
        <w:drawing>
          <wp:inline distT="0" distB="0" distL="114300" distR="114300">
            <wp:extent cx="5732780" cy="4142740"/>
            <wp:effectExtent l="0" t="0" r="12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32780" cy="4142740"/>
                    </a:xfrm>
                    <a:prstGeom prst="rect">
                      <a:avLst/>
                    </a:prstGeom>
                    <a:noFill/>
                    <a:ln>
                      <a:noFill/>
                    </a:ln>
                  </pic:spPr>
                </pic:pic>
              </a:graphicData>
            </a:graphic>
          </wp:inline>
        </w:drawing>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标准性质是国家推荐性标准。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hint="eastAsia" w:ascii="宋体" w:hAnsi="宋体" w:eastAsia="宋体"/>
          <w:szCs w:val="21"/>
          <w:lang w:val="en-US" w:eastAsia="zh-CN"/>
        </w:rPr>
      </w:pPr>
      <w:r>
        <w:rPr>
          <w:rFonts w:hint="eastAsia" w:ascii="宋体" w:hAnsi="宋体"/>
          <w:szCs w:val="21"/>
          <w:lang w:val="en-US" w:eastAsia="zh-CN"/>
        </w:rPr>
        <w:t>无</w:t>
      </w:r>
    </w:p>
    <w:p>
      <w:pPr>
        <w:adjustRightInd w:val="0"/>
        <w:snapToGrid w:val="0"/>
        <w:ind w:firstLine="420" w:firstLineChars="200"/>
        <w:jc w:val="left"/>
        <w:rPr>
          <w:rFonts w:ascii="宋体" w:hAnsi="宋体"/>
          <w:szCs w:val="21"/>
        </w:rPr>
      </w:pPr>
    </w:p>
    <w:p>
      <w:pPr>
        <w:adjustRightInd w:val="0"/>
        <w:snapToGrid w:val="0"/>
        <w:ind w:firstLine="420" w:firstLineChars="200"/>
        <w:jc w:val="right"/>
        <w:rPr>
          <w:rFonts w:ascii="宋体" w:hAnsi="宋体"/>
          <w:szCs w:val="21"/>
        </w:rPr>
      </w:pP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72908"/>
    <w:rsid w:val="00374935"/>
    <w:rsid w:val="0037498B"/>
    <w:rsid w:val="003875BD"/>
    <w:rsid w:val="00387C21"/>
    <w:rsid w:val="003C22B0"/>
    <w:rsid w:val="003C5492"/>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5C42"/>
    <w:rsid w:val="004D6527"/>
    <w:rsid w:val="004E4151"/>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B2B88"/>
    <w:rsid w:val="008B4622"/>
    <w:rsid w:val="008B49B7"/>
    <w:rsid w:val="008B5206"/>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C1690"/>
    <w:rsid w:val="00BD13ED"/>
    <w:rsid w:val="00BE0240"/>
    <w:rsid w:val="00BE2084"/>
    <w:rsid w:val="00BE6E00"/>
    <w:rsid w:val="00BF2DB6"/>
    <w:rsid w:val="00BF489C"/>
    <w:rsid w:val="00BF5393"/>
    <w:rsid w:val="00C04529"/>
    <w:rsid w:val="00C0488C"/>
    <w:rsid w:val="00C109B8"/>
    <w:rsid w:val="00C11C12"/>
    <w:rsid w:val="00C11FF7"/>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6034"/>
    <w:rsid w:val="00CA73E4"/>
    <w:rsid w:val="00CA77B4"/>
    <w:rsid w:val="00CA7BF2"/>
    <w:rsid w:val="00CB0A0C"/>
    <w:rsid w:val="00CB1893"/>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61602"/>
    <w:rsid w:val="00F63793"/>
    <w:rsid w:val="00F717E9"/>
    <w:rsid w:val="00F71F31"/>
    <w:rsid w:val="00F72F99"/>
    <w:rsid w:val="00F75BF5"/>
    <w:rsid w:val="00F775C9"/>
    <w:rsid w:val="00F83F69"/>
    <w:rsid w:val="00F853E1"/>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0D3D28C7"/>
    <w:rsid w:val="160E21CF"/>
    <w:rsid w:val="209C4D15"/>
    <w:rsid w:val="29B205A6"/>
    <w:rsid w:val="2B8A1EA0"/>
    <w:rsid w:val="2FA8776A"/>
    <w:rsid w:val="3792716A"/>
    <w:rsid w:val="38797524"/>
    <w:rsid w:val="3C131A3E"/>
    <w:rsid w:val="49D90C81"/>
    <w:rsid w:val="4B11183E"/>
    <w:rsid w:val="59084281"/>
    <w:rsid w:val="5AF25436"/>
    <w:rsid w:val="5CC40E98"/>
    <w:rsid w:val="6B8754D9"/>
    <w:rsid w:val="784E1FBA"/>
    <w:rsid w:val="7C947A56"/>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99"/>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9"/>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qFormat/>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qFormat/>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qFormat/>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 w:type="paragraph" w:customStyle="1" w:styleId="4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1782</Words>
  <Characters>1938</Characters>
  <Lines>65</Lines>
  <Paragraphs>18</Paragraphs>
  <TotalTime>7</TotalTime>
  <ScaleCrop>false</ScaleCrop>
  <LinksUpToDate>false</LinksUpToDate>
  <CharactersWithSpaces>1978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2022-04-07T03:46:00Z</dcterms:created>
  <dc:creator>a</dc:creator>
  <cp:lastModifiedBy>晓静</cp:lastModifiedBy>
  <cp:lastPrinted>2019-03-22T06:24:00Z</cp:lastPrinted>
  <dcterms:modified xsi:type="dcterms:W3CDTF">2022-07-13T09:00:32Z</dcterms:modified>
  <dc:title>小麦粉国家标准(GB 1355)</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B75BF92E4B624E28A3226B302A3BA9C5</vt:lpwstr>
  </property>
</Properties>
</file>